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A16" w:rsidRPr="003E1BD9" w:rsidRDefault="00F93A16" w:rsidP="003E1BD9">
      <w:pPr>
        <w:pStyle w:val="ListParagraph"/>
        <w:shd w:val="clear" w:color="auto" w:fill="FFFFFF"/>
        <w:spacing w:after="0" w:line="480" w:lineRule="auto"/>
        <w:ind w:left="0"/>
        <w:rPr>
          <w:rFonts w:ascii="Times New Roman" w:eastAsia="Times New Roman" w:hAnsi="Times New Roman" w:cs="Times New Roman"/>
          <w:b/>
          <w:sz w:val="24"/>
          <w:szCs w:val="24"/>
        </w:rPr>
      </w:pPr>
      <w:r w:rsidRPr="003E1BD9">
        <w:rPr>
          <w:rFonts w:ascii="Times New Roman" w:eastAsia="Times New Roman" w:hAnsi="Times New Roman" w:cs="Times New Roman"/>
          <w:b/>
          <w:sz w:val="24"/>
          <w:szCs w:val="24"/>
        </w:rPr>
        <w:t xml:space="preserve">FOREY, Inc. competes against many other firms in a highly competitive industry.  Over the last decade, several firms have entered this industry and, as a consequence, FOREY is earning a return on investment that roughly equals the interest rate.  Furthermore, the four-firm concentration ration and the </w:t>
      </w:r>
      <w:proofErr w:type="spellStart"/>
      <w:r w:rsidRPr="003E1BD9">
        <w:rPr>
          <w:rFonts w:ascii="Times New Roman" w:eastAsia="Times New Roman" w:hAnsi="Times New Roman" w:cs="Times New Roman"/>
          <w:b/>
          <w:sz w:val="24"/>
          <w:szCs w:val="24"/>
        </w:rPr>
        <w:t>Herfindahl</w:t>
      </w:r>
      <w:proofErr w:type="spellEnd"/>
      <w:r w:rsidRPr="003E1BD9">
        <w:rPr>
          <w:rFonts w:ascii="Times New Roman" w:eastAsia="Times New Roman" w:hAnsi="Times New Roman" w:cs="Times New Roman"/>
          <w:b/>
          <w:sz w:val="24"/>
          <w:szCs w:val="24"/>
        </w:rPr>
        <w:t>-Hirschman index are both quite small, BUT the Rothschild index is significantly greater than zero.  Based on this information, which market structure best characterizes the industry in which FOREY competes?  Explain</w:t>
      </w:r>
    </w:p>
    <w:p w:rsidR="003E1BD9" w:rsidRPr="003E1BD9" w:rsidRDefault="00F93A16" w:rsidP="003E1BD9">
      <w:pPr>
        <w:spacing w:line="480" w:lineRule="auto"/>
        <w:ind w:firstLine="720"/>
        <w:rPr>
          <w:rFonts w:ascii="Times New Roman" w:hAnsi="Times New Roman" w:cs="Times New Roman"/>
          <w:sz w:val="24"/>
          <w:szCs w:val="24"/>
        </w:rPr>
      </w:pPr>
      <w:r w:rsidRPr="003E1BD9">
        <w:rPr>
          <w:rFonts w:ascii="Times New Roman" w:hAnsi="Times New Roman" w:cs="Times New Roman"/>
          <w:sz w:val="24"/>
          <w:szCs w:val="24"/>
        </w:rPr>
        <w:t xml:space="preserve">The information describes a perfectly competitive market structure as the industry under which </w:t>
      </w:r>
      <w:proofErr w:type="spellStart"/>
      <w:r w:rsidRPr="003E1BD9">
        <w:rPr>
          <w:rFonts w:ascii="Times New Roman" w:hAnsi="Times New Roman" w:cs="Times New Roman"/>
          <w:sz w:val="24"/>
          <w:szCs w:val="24"/>
        </w:rPr>
        <w:t>Forey</w:t>
      </w:r>
      <w:proofErr w:type="spellEnd"/>
      <w:r w:rsidRPr="003E1BD9">
        <w:rPr>
          <w:rFonts w:ascii="Times New Roman" w:hAnsi="Times New Roman" w:cs="Times New Roman"/>
          <w:sz w:val="24"/>
          <w:szCs w:val="24"/>
        </w:rPr>
        <w:t xml:space="preserve"> Inc. competes. The conclusion emanates from the understanding of reduced rates of returns with the entry of new firms in the industry, while also no mention of any restrictions for new entries. The description also mentions that the four-firm concentration and the </w:t>
      </w:r>
      <w:proofErr w:type="spellStart"/>
      <w:r w:rsidRPr="003E1BD9">
        <w:rPr>
          <w:rFonts w:ascii="Times New Roman" w:hAnsi="Times New Roman" w:cs="Times New Roman"/>
          <w:sz w:val="24"/>
          <w:szCs w:val="24"/>
        </w:rPr>
        <w:t>Herfindahl</w:t>
      </w:r>
      <w:proofErr w:type="spellEnd"/>
      <w:r w:rsidRPr="003E1BD9">
        <w:rPr>
          <w:rFonts w:ascii="Times New Roman" w:hAnsi="Times New Roman" w:cs="Times New Roman"/>
          <w:sz w:val="24"/>
          <w:szCs w:val="24"/>
        </w:rPr>
        <w:t xml:space="preserve"> Hirschman index are both quite small, which indicates than none of the participants involved have the power to influence or even to set the market price</w:t>
      </w:r>
      <w:r w:rsidR="003E1BD9" w:rsidRPr="003E1BD9">
        <w:rPr>
          <w:rFonts w:ascii="Times New Roman" w:hAnsi="Times New Roman" w:cs="Times New Roman"/>
          <w:sz w:val="24"/>
          <w:szCs w:val="24"/>
        </w:rPr>
        <w:t xml:space="preserve"> </w:t>
      </w:r>
      <w:sdt>
        <w:sdtPr>
          <w:rPr>
            <w:rFonts w:ascii="Times New Roman" w:hAnsi="Times New Roman" w:cs="Times New Roman"/>
            <w:sz w:val="24"/>
            <w:szCs w:val="24"/>
          </w:rPr>
          <w:id w:val="3286154"/>
          <w:citation/>
        </w:sdtPr>
        <w:sdtContent>
          <w:r w:rsidR="003E1BD9" w:rsidRPr="003E1BD9">
            <w:rPr>
              <w:rFonts w:ascii="Times New Roman" w:hAnsi="Times New Roman" w:cs="Times New Roman"/>
              <w:sz w:val="24"/>
              <w:szCs w:val="24"/>
            </w:rPr>
            <w:fldChar w:fldCharType="begin"/>
          </w:r>
          <w:r w:rsidR="003E1BD9" w:rsidRPr="003E1BD9">
            <w:rPr>
              <w:rFonts w:ascii="Times New Roman" w:hAnsi="Times New Roman" w:cs="Times New Roman"/>
              <w:sz w:val="24"/>
              <w:szCs w:val="24"/>
            </w:rPr>
            <w:instrText xml:space="preserve"> CITATION Bre16 \l 1033 </w:instrText>
          </w:r>
          <w:r w:rsidR="003E1BD9" w:rsidRPr="003E1BD9">
            <w:rPr>
              <w:rFonts w:ascii="Times New Roman" w:hAnsi="Times New Roman" w:cs="Times New Roman"/>
              <w:sz w:val="24"/>
              <w:szCs w:val="24"/>
            </w:rPr>
            <w:fldChar w:fldCharType="separate"/>
          </w:r>
          <w:r w:rsidR="003E1BD9" w:rsidRPr="003E1BD9">
            <w:rPr>
              <w:rFonts w:ascii="Times New Roman" w:hAnsi="Times New Roman" w:cs="Times New Roman"/>
              <w:noProof/>
              <w:sz w:val="24"/>
              <w:szCs w:val="24"/>
            </w:rPr>
            <w:t>(Brezina, Pekar, Cickova, &amp; Reiff, 2016)</w:t>
          </w:r>
          <w:r w:rsidR="003E1BD9" w:rsidRPr="003E1BD9">
            <w:rPr>
              <w:rFonts w:ascii="Times New Roman" w:hAnsi="Times New Roman" w:cs="Times New Roman"/>
              <w:sz w:val="24"/>
              <w:szCs w:val="24"/>
            </w:rPr>
            <w:fldChar w:fldCharType="end"/>
          </w:r>
        </w:sdtContent>
      </w:sdt>
      <w:r w:rsidRPr="003E1BD9">
        <w:rPr>
          <w:rFonts w:ascii="Times New Roman" w:hAnsi="Times New Roman" w:cs="Times New Roman"/>
          <w:sz w:val="24"/>
          <w:szCs w:val="24"/>
        </w:rPr>
        <w:t>. The analysis fits with the description of a perfect competitive market industry, “A market is said to be perfect when all the potential buyers and sellers are promptly aware of the prices at which the transactions will take pla</w:t>
      </w:r>
      <w:r w:rsidR="00110788" w:rsidRPr="003E1BD9">
        <w:rPr>
          <w:rFonts w:ascii="Times New Roman" w:hAnsi="Times New Roman" w:cs="Times New Roman"/>
          <w:sz w:val="24"/>
          <w:szCs w:val="24"/>
        </w:rPr>
        <w:t>ce. Under such conditions, the price of the commodity will tend to be equal everywhere.”</w:t>
      </w:r>
      <w:r w:rsidR="00CD0A20" w:rsidRPr="003E1BD9">
        <w:rPr>
          <w:rFonts w:ascii="Times New Roman" w:hAnsi="Times New Roman" w:cs="Times New Roman"/>
          <w:sz w:val="24"/>
          <w:szCs w:val="24"/>
        </w:rPr>
        <w:t xml:space="preserve"> However, the Rothschild index being significantly greater than zero indicates that there is diversification of products among the competitors, but not significant enough to create a monopoly facing one business in the industry</w:t>
      </w:r>
      <w:r w:rsidR="003E1BD9" w:rsidRPr="003E1BD9">
        <w:rPr>
          <w:rFonts w:ascii="Times New Roman" w:hAnsi="Times New Roman" w:cs="Times New Roman"/>
          <w:sz w:val="24"/>
          <w:szCs w:val="24"/>
        </w:rPr>
        <w:t xml:space="preserve"> </w:t>
      </w:r>
      <w:sdt>
        <w:sdtPr>
          <w:rPr>
            <w:rFonts w:ascii="Times New Roman" w:hAnsi="Times New Roman" w:cs="Times New Roman"/>
            <w:sz w:val="24"/>
            <w:szCs w:val="24"/>
          </w:rPr>
          <w:id w:val="3286155"/>
          <w:citation/>
        </w:sdtPr>
        <w:sdtContent>
          <w:r w:rsidR="003E1BD9" w:rsidRPr="003E1BD9">
            <w:rPr>
              <w:rFonts w:ascii="Times New Roman" w:hAnsi="Times New Roman" w:cs="Times New Roman"/>
              <w:sz w:val="24"/>
              <w:szCs w:val="24"/>
            </w:rPr>
            <w:fldChar w:fldCharType="begin"/>
          </w:r>
          <w:r w:rsidR="003E1BD9" w:rsidRPr="003E1BD9">
            <w:rPr>
              <w:rFonts w:ascii="Times New Roman" w:hAnsi="Times New Roman" w:cs="Times New Roman"/>
              <w:sz w:val="24"/>
              <w:szCs w:val="24"/>
            </w:rPr>
            <w:instrText xml:space="preserve"> CITATION Kei17 \l 1033 </w:instrText>
          </w:r>
          <w:r w:rsidR="003E1BD9" w:rsidRPr="003E1BD9">
            <w:rPr>
              <w:rFonts w:ascii="Times New Roman" w:hAnsi="Times New Roman" w:cs="Times New Roman"/>
              <w:sz w:val="24"/>
              <w:szCs w:val="24"/>
            </w:rPr>
            <w:fldChar w:fldCharType="separate"/>
          </w:r>
          <w:r w:rsidR="003E1BD9" w:rsidRPr="003E1BD9">
            <w:rPr>
              <w:rFonts w:ascii="Times New Roman" w:hAnsi="Times New Roman" w:cs="Times New Roman"/>
              <w:noProof/>
              <w:sz w:val="24"/>
              <w:szCs w:val="24"/>
            </w:rPr>
            <w:t>(Keil, 2017)</w:t>
          </w:r>
          <w:r w:rsidR="003E1BD9" w:rsidRPr="003E1BD9">
            <w:rPr>
              <w:rFonts w:ascii="Times New Roman" w:hAnsi="Times New Roman" w:cs="Times New Roman"/>
              <w:sz w:val="24"/>
              <w:szCs w:val="24"/>
            </w:rPr>
            <w:fldChar w:fldCharType="end"/>
          </w:r>
        </w:sdtContent>
      </w:sdt>
      <w:r w:rsidR="00CD0A20" w:rsidRPr="003E1BD9">
        <w:rPr>
          <w:rFonts w:ascii="Times New Roman" w:hAnsi="Times New Roman" w:cs="Times New Roman"/>
          <w:sz w:val="24"/>
          <w:szCs w:val="24"/>
        </w:rPr>
        <w:t xml:space="preserve">. With the existence of relative freedom to enter and exit the industry, </w:t>
      </w:r>
      <w:proofErr w:type="spellStart"/>
      <w:r w:rsidR="00CD0A20" w:rsidRPr="003E1BD9">
        <w:rPr>
          <w:rFonts w:ascii="Times New Roman" w:hAnsi="Times New Roman" w:cs="Times New Roman"/>
          <w:sz w:val="24"/>
          <w:szCs w:val="24"/>
        </w:rPr>
        <w:t>Forey</w:t>
      </w:r>
      <w:proofErr w:type="spellEnd"/>
      <w:r w:rsidR="00CD0A20" w:rsidRPr="003E1BD9">
        <w:rPr>
          <w:rFonts w:ascii="Times New Roman" w:hAnsi="Times New Roman" w:cs="Times New Roman"/>
          <w:sz w:val="24"/>
          <w:szCs w:val="24"/>
        </w:rPr>
        <w:t xml:space="preserve"> Inc. will witness a decrease in its profits within the short-term, so long as more competitors enter the industry. In the long run, the company will enjoy normal economic profit. </w:t>
      </w:r>
    </w:p>
    <w:p w:rsidR="003E1BD9" w:rsidRPr="003E1BD9" w:rsidRDefault="003E1BD9" w:rsidP="003E1BD9">
      <w:pPr>
        <w:spacing w:line="480" w:lineRule="auto"/>
        <w:rPr>
          <w:rFonts w:ascii="Times New Roman" w:hAnsi="Times New Roman" w:cs="Times New Roman"/>
          <w:sz w:val="24"/>
          <w:szCs w:val="24"/>
        </w:rPr>
      </w:pPr>
      <w:r w:rsidRPr="003E1BD9">
        <w:rPr>
          <w:rFonts w:ascii="Times New Roman" w:hAnsi="Times New Roman" w:cs="Times New Roman"/>
          <w:sz w:val="24"/>
          <w:szCs w:val="24"/>
        </w:rPr>
        <w:br w:type="page"/>
      </w:r>
    </w:p>
    <w:sdt>
      <w:sdtPr>
        <w:rPr>
          <w:rFonts w:ascii="Times New Roman" w:hAnsi="Times New Roman" w:cs="Times New Roman"/>
          <w:b w:val="0"/>
          <w:color w:val="auto"/>
          <w:sz w:val="24"/>
          <w:szCs w:val="24"/>
        </w:rPr>
        <w:id w:val="3286156"/>
        <w:docPartObj>
          <w:docPartGallery w:val="Bibliographies"/>
          <w:docPartUnique/>
        </w:docPartObj>
      </w:sdtPr>
      <w:sdtEndPr>
        <w:rPr>
          <w:rFonts w:eastAsiaTheme="minorEastAsia"/>
          <w:bCs w:val="0"/>
          <w:lang w:bidi="ar-SA"/>
        </w:rPr>
      </w:sdtEndPr>
      <w:sdtContent>
        <w:p w:rsidR="003E1BD9" w:rsidRPr="003E1BD9" w:rsidRDefault="003E1BD9" w:rsidP="003E1BD9">
          <w:pPr>
            <w:pStyle w:val="Heading1"/>
            <w:spacing w:line="480" w:lineRule="auto"/>
            <w:jc w:val="center"/>
            <w:rPr>
              <w:rFonts w:ascii="Times New Roman" w:hAnsi="Times New Roman" w:cs="Times New Roman"/>
              <w:b w:val="0"/>
              <w:color w:val="auto"/>
              <w:sz w:val="24"/>
              <w:szCs w:val="24"/>
            </w:rPr>
          </w:pPr>
          <w:r w:rsidRPr="003E1BD9">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3E1BD9" w:rsidRPr="003E1BD9" w:rsidRDefault="003E1BD9" w:rsidP="003E1BD9">
              <w:pPr>
                <w:pStyle w:val="Bibliography"/>
                <w:spacing w:line="480" w:lineRule="auto"/>
                <w:ind w:left="720" w:hanging="720"/>
                <w:rPr>
                  <w:rFonts w:ascii="Times New Roman" w:hAnsi="Times New Roman" w:cs="Times New Roman"/>
                  <w:noProof/>
                  <w:sz w:val="24"/>
                  <w:szCs w:val="24"/>
                </w:rPr>
              </w:pPr>
              <w:r w:rsidRPr="003E1BD9">
                <w:rPr>
                  <w:rFonts w:ascii="Times New Roman" w:hAnsi="Times New Roman" w:cs="Times New Roman"/>
                  <w:sz w:val="24"/>
                  <w:szCs w:val="24"/>
                </w:rPr>
                <w:fldChar w:fldCharType="begin"/>
              </w:r>
              <w:r w:rsidRPr="003E1BD9">
                <w:rPr>
                  <w:rFonts w:ascii="Times New Roman" w:hAnsi="Times New Roman" w:cs="Times New Roman"/>
                  <w:sz w:val="24"/>
                  <w:szCs w:val="24"/>
                </w:rPr>
                <w:instrText xml:space="preserve"> BIBLIOGRAPHY </w:instrText>
              </w:r>
              <w:r w:rsidRPr="003E1BD9">
                <w:rPr>
                  <w:rFonts w:ascii="Times New Roman" w:hAnsi="Times New Roman" w:cs="Times New Roman"/>
                  <w:sz w:val="24"/>
                  <w:szCs w:val="24"/>
                </w:rPr>
                <w:fldChar w:fldCharType="separate"/>
              </w:r>
              <w:r w:rsidRPr="003E1BD9">
                <w:rPr>
                  <w:rFonts w:ascii="Times New Roman" w:hAnsi="Times New Roman" w:cs="Times New Roman"/>
                  <w:noProof/>
                  <w:sz w:val="24"/>
                  <w:szCs w:val="24"/>
                </w:rPr>
                <w:t xml:space="preserve">Brezina, I., Pekar, J., Cickova, Z., &amp; Reiff, M. (2016). Herfindahl–Hirschman index level of concentration values modification and analysis of their change. </w:t>
              </w:r>
              <w:r w:rsidRPr="003E1BD9">
                <w:rPr>
                  <w:rFonts w:ascii="Times New Roman" w:hAnsi="Times New Roman" w:cs="Times New Roman"/>
                  <w:i/>
                  <w:iCs/>
                  <w:noProof/>
                  <w:sz w:val="24"/>
                  <w:szCs w:val="24"/>
                </w:rPr>
                <w:t>Central European journal of operations research</w:t>
              </w:r>
              <w:r w:rsidRPr="003E1BD9">
                <w:rPr>
                  <w:rFonts w:ascii="Times New Roman" w:hAnsi="Times New Roman" w:cs="Times New Roman"/>
                  <w:noProof/>
                  <w:sz w:val="24"/>
                  <w:szCs w:val="24"/>
                </w:rPr>
                <w:t xml:space="preserve"> </w:t>
              </w:r>
              <w:r w:rsidRPr="003E1BD9">
                <w:rPr>
                  <w:rFonts w:ascii="Times New Roman" w:hAnsi="Times New Roman" w:cs="Times New Roman"/>
                  <w:i/>
                  <w:iCs/>
                  <w:noProof/>
                  <w:sz w:val="24"/>
                  <w:szCs w:val="24"/>
                </w:rPr>
                <w:t>, 24</w:t>
              </w:r>
              <w:r w:rsidRPr="003E1BD9">
                <w:rPr>
                  <w:rFonts w:ascii="Times New Roman" w:hAnsi="Times New Roman" w:cs="Times New Roman"/>
                  <w:noProof/>
                  <w:sz w:val="24"/>
                  <w:szCs w:val="24"/>
                </w:rPr>
                <w:t xml:space="preserve"> (1), 49-72.</w:t>
              </w:r>
            </w:p>
            <w:p w:rsidR="003E1BD9" w:rsidRPr="003E1BD9" w:rsidRDefault="003E1BD9" w:rsidP="003E1BD9">
              <w:pPr>
                <w:pStyle w:val="Bibliography"/>
                <w:spacing w:line="480" w:lineRule="auto"/>
                <w:ind w:left="720" w:hanging="720"/>
                <w:rPr>
                  <w:rFonts w:ascii="Times New Roman" w:hAnsi="Times New Roman" w:cs="Times New Roman"/>
                  <w:noProof/>
                  <w:sz w:val="24"/>
                  <w:szCs w:val="24"/>
                </w:rPr>
              </w:pPr>
              <w:r w:rsidRPr="003E1BD9">
                <w:rPr>
                  <w:rFonts w:ascii="Times New Roman" w:hAnsi="Times New Roman" w:cs="Times New Roman"/>
                  <w:noProof/>
                  <w:sz w:val="24"/>
                  <w:szCs w:val="24"/>
                </w:rPr>
                <w:t xml:space="preserve">Keil, J. (2017). The trouble with approximating industry concentration from Compustat. </w:t>
              </w:r>
              <w:r w:rsidRPr="003E1BD9">
                <w:rPr>
                  <w:rFonts w:ascii="Times New Roman" w:hAnsi="Times New Roman" w:cs="Times New Roman"/>
                  <w:i/>
                  <w:iCs/>
                  <w:noProof/>
                  <w:sz w:val="24"/>
                  <w:szCs w:val="24"/>
                </w:rPr>
                <w:t>Journal of Corporate Finance</w:t>
              </w:r>
              <w:r w:rsidRPr="003E1BD9">
                <w:rPr>
                  <w:rFonts w:ascii="Times New Roman" w:hAnsi="Times New Roman" w:cs="Times New Roman"/>
                  <w:noProof/>
                  <w:sz w:val="24"/>
                  <w:szCs w:val="24"/>
                </w:rPr>
                <w:t xml:space="preserve"> </w:t>
              </w:r>
              <w:r w:rsidRPr="003E1BD9">
                <w:rPr>
                  <w:rFonts w:ascii="Times New Roman" w:hAnsi="Times New Roman" w:cs="Times New Roman"/>
                  <w:i/>
                  <w:iCs/>
                  <w:noProof/>
                  <w:sz w:val="24"/>
                  <w:szCs w:val="24"/>
                </w:rPr>
                <w:t>, 45</w:t>
              </w:r>
              <w:r w:rsidRPr="003E1BD9">
                <w:rPr>
                  <w:rFonts w:ascii="Times New Roman" w:hAnsi="Times New Roman" w:cs="Times New Roman"/>
                  <w:noProof/>
                  <w:sz w:val="24"/>
                  <w:szCs w:val="24"/>
                </w:rPr>
                <w:t>, 467-479.</w:t>
              </w:r>
            </w:p>
            <w:p w:rsidR="003E1BD9" w:rsidRPr="003E1BD9" w:rsidRDefault="003E1BD9" w:rsidP="003E1BD9">
              <w:pPr>
                <w:spacing w:line="480" w:lineRule="auto"/>
                <w:ind w:left="720" w:hanging="720"/>
                <w:rPr>
                  <w:rFonts w:ascii="Times New Roman" w:hAnsi="Times New Roman" w:cs="Times New Roman"/>
                  <w:sz w:val="24"/>
                  <w:szCs w:val="24"/>
                </w:rPr>
              </w:pPr>
              <w:r w:rsidRPr="003E1BD9">
                <w:rPr>
                  <w:rFonts w:ascii="Times New Roman" w:hAnsi="Times New Roman" w:cs="Times New Roman"/>
                  <w:sz w:val="24"/>
                  <w:szCs w:val="24"/>
                </w:rPr>
                <w:fldChar w:fldCharType="end"/>
              </w:r>
            </w:p>
          </w:sdtContent>
        </w:sdt>
      </w:sdtContent>
    </w:sdt>
    <w:p w:rsidR="003E1BD9" w:rsidRPr="003E1BD9" w:rsidRDefault="003E1BD9" w:rsidP="003E1BD9">
      <w:pPr>
        <w:spacing w:line="480" w:lineRule="auto"/>
        <w:ind w:firstLine="720"/>
        <w:rPr>
          <w:rFonts w:ascii="Times New Roman" w:hAnsi="Times New Roman" w:cs="Times New Roman"/>
          <w:sz w:val="24"/>
          <w:szCs w:val="24"/>
        </w:rPr>
      </w:pPr>
    </w:p>
    <w:sectPr w:rsidR="003E1BD9" w:rsidRPr="003E1BD9" w:rsidSect="003567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B0BCF"/>
    <w:multiLevelType w:val="hybridMultilevel"/>
    <w:tmpl w:val="5EDC7098"/>
    <w:lvl w:ilvl="0" w:tplc="54940D38">
      <w:start w:val="1"/>
      <w:numFmt w:val="decimal"/>
      <w:lvlText w:val="%1."/>
      <w:lvlJc w:val="left"/>
      <w:pPr>
        <w:ind w:left="360" w:hanging="360"/>
      </w:pPr>
      <w:rPr>
        <w:rFonts w:ascii="Arial" w:hAnsi="Arial" w:cs="Arial" w:hint="default"/>
        <w:color w:val="212529"/>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characterSpacingControl w:val="doNotCompress"/>
  <w:compat>
    <w:useFELayout/>
  </w:compat>
  <w:rsids>
    <w:rsidRoot w:val="00F93A16"/>
    <w:rsid w:val="000E2D29"/>
    <w:rsid w:val="00110788"/>
    <w:rsid w:val="00244AE5"/>
    <w:rsid w:val="0035672F"/>
    <w:rsid w:val="003E1BD9"/>
    <w:rsid w:val="00413273"/>
    <w:rsid w:val="00574F9F"/>
    <w:rsid w:val="006B7305"/>
    <w:rsid w:val="00766594"/>
    <w:rsid w:val="009E7FA6"/>
    <w:rsid w:val="00AD69D2"/>
    <w:rsid w:val="00BE6F12"/>
    <w:rsid w:val="00C13DF0"/>
    <w:rsid w:val="00CD0A20"/>
    <w:rsid w:val="00F84D46"/>
    <w:rsid w:val="00F93A16"/>
    <w:rsid w:val="00FB15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72F"/>
  </w:style>
  <w:style w:type="paragraph" w:styleId="Heading1">
    <w:name w:val="heading 1"/>
    <w:basedOn w:val="Normal"/>
    <w:next w:val="Normal"/>
    <w:link w:val="Heading1Char"/>
    <w:uiPriority w:val="9"/>
    <w:qFormat/>
    <w:rsid w:val="003E1BD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link w:val="Heading2Char"/>
    <w:uiPriority w:val="9"/>
    <w:qFormat/>
    <w:rsid w:val="00F93A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3A1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93A1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93A16"/>
    <w:pPr>
      <w:ind w:left="720"/>
      <w:contextualSpacing/>
    </w:pPr>
  </w:style>
  <w:style w:type="paragraph" w:styleId="BalloonText">
    <w:name w:val="Balloon Text"/>
    <w:basedOn w:val="Normal"/>
    <w:link w:val="BalloonTextChar"/>
    <w:uiPriority w:val="99"/>
    <w:semiHidden/>
    <w:unhideWhenUsed/>
    <w:rsid w:val="003E1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BD9"/>
    <w:rPr>
      <w:rFonts w:ascii="Tahoma" w:hAnsi="Tahoma" w:cs="Tahoma"/>
      <w:sz w:val="16"/>
      <w:szCs w:val="16"/>
    </w:rPr>
  </w:style>
  <w:style w:type="character" w:customStyle="1" w:styleId="Heading1Char">
    <w:name w:val="Heading 1 Char"/>
    <w:basedOn w:val="DefaultParagraphFont"/>
    <w:link w:val="Heading1"/>
    <w:uiPriority w:val="9"/>
    <w:rsid w:val="003E1BD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E1BD9"/>
  </w:style>
</w:styles>
</file>

<file path=word/webSettings.xml><?xml version="1.0" encoding="utf-8"?>
<w:webSettings xmlns:r="http://schemas.openxmlformats.org/officeDocument/2006/relationships" xmlns:w="http://schemas.openxmlformats.org/wordprocessingml/2006/main">
  <w:divs>
    <w:div w:id="582225161">
      <w:bodyDiv w:val="1"/>
      <w:marLeft w:val="0"/>
      <w:marRight w:val="0"/>
      <w:marTop w:val="0"/>
      <w:marBottom w:val="0"/>
      <w:divBdr>
        <w:top w:val="none" w:sz="0" w:space="0" w:color="auto"/>
        <w:left w:val="none" w:sz="0" w:space="0" w:color="auto"/>
        <w:bottom w:val="none" w:sz="0" w:space="0" w:color="auto"/>
        <w:right w:val="none" w:sz="0" w:space="0" w:color="auto"/>
      </w:divBdr>
    </w:div>
    <w:div w:id="1699044219">
      <w:bodyDiv w:val="1"/>
      <w:marLeft w:val="0"/>
      <w:marRight w:val="0"/>
      <w:marTop w:val="0"/>
      <w:marBottom w:val="0"/>
      <w:divBdr>
        <w:top w:val="none" w:sz="0" w:space="0" w:color="auto"/>
        <w:left w:val="none" w:sz="0" w:space="0" w:color="auto"/>
        <w:bottom w:val="none" w:sz="0" w:space="0" w:color="auto"/>
        <w:right w:val="none" w:sz="0" w:space="0" w:color="auto"/>
      </w:divBdr>
      <w:divsChild>
        <w:div w:id="1234051917">
          <w:marLeft w:val="0"/>
          <w:marRight w:val="0"/>
          <w:marTop w:val="0"/>
          <w:marBottom w:val="0"/>
          <w:divBdr>
            <w:top w:val="none" w:sz="0" w:space="0" w:color="auto"/>
            <w:left w:val="none" w:sz="0" w:space="0" w:color="auto"/>
            <w:bottom w:val="none" w:sz="0" w:space="0" w:color="auto"/>
            <w:right w:val="none" w:sz="0" w:space="0" w:color="auto"/>
          </w:divBdr>
          <w:divsChild>
            <w:div w:id="2124180089">
              <w:marLeft w:val="0"/>
              <w:marRight w:val="0"/>
              <w:marTop w:val="0"/>
              <w:marBottom w:val="0"/>
              <w:divBdr>
                <w:top w:val="none" w:sz="0" w:space="0" w:color="auto"/>
                <w:left w:val="none" w:sz="0" w:space="0" w:color="auto"/>
                <w:bottom w:val="none" w:sz="0" w:space="0" w:color="auto"/>
                <w:right w:val="none" w:sz="0" w:space="0" w:color="auto"/>
              </w:divBdr>
              <w:divsChild>
                <w:div w:id="804277450">
                  <w:marLeft w:val="0"/>
                  <w:marRight w:val="0"/>
                  <w:marTop w:val="144"/>
                  <w:marBottom w:val="0"/>
                  <w:divBdr>
                    <w:top w:val="none" w:sz="0" w:space="0" w:color="auto"/>
                    <w:left w:val="none" w:sz="0" w:space="0" w:color="auto"/>
                    <w:bottom w:val="none" w:sz="0" w:space="0" w:color="auto"/>
                    <w:right w:val="none" w:sz="0" w:space="0" w:color="auto"/>
                  </w:divBdr>
                  <w:divsChild>
                    <w:div w:id="179702426">
                      <w:marLeft w:val="0"/>
                      <w:marRight w:val="0"/>
                      <w:marTop w:val="0"/>
                      <w:marBottom w:val="0"/>
                      <w:divBdr>
                        <w:top w:val="none" w:sz="0" w:space="0" w:color="auto"/>
                        <w:left w:val="none" w:sz="0" w:space="0" w:color="auto"/>
                        <w:bottom w:val="none" w:sz="0" w:space="0" w:color="auto"/>
                        <w:right w:val="none" w:sz="0" w:space="0" w:color="auto"/>
                      </w:divBdr>
                      <w:divsChild>
                        <w:div w:id="639920929">
                          <w:marLeft w:val="0"/>
                          <w:marRight w:val="0"/>
                          <w:marTop w:val="0"/>
                          <w:marBottom w:val="0"/>
                          <w:divBdr>
                            <w:top w:val="none" w:sz="0" w:space="0" w:color="auto"/>
                            <w:left w:val="none" w:sz="0" w:space="0" w:color="auto"/>
                            <w:bottom w:val="none" w:sz="0" w:space="0" w:color="auto"/>
                            <w:right w:val="none" w:sz="0" w:space="0" w:color="auto"/>
                          </w:divBdr>
                          <w:divsChild>
                            <w:div w:id="672805866">
                              <w:marLeft w:val="0"/>
                              <w:marRight w:val="0"/>
                              <w:marTop w:val="0"/>
                              <w:marBottom w:val="0"/>
                              <w:divBdr>
                                <w:top w:val="none" w:sz="0" w:space="0" w:color="auto"/>
                                <w:left w:val="none" w:sz="0" w:space="0" w:color="auto"/>
                                <w:bottom w:val="none" w:sz="0" w:space="0" w:color="auto"/>
                                <w:right w:val="none" w:sz="0" w:space="0" w:color="auto"/>
                              </w:divBdr>
                              <w:divsChild>
                                <w:div w:id="12694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379743">
      <w:bodyDiv w:val="1"/>
      <w:marLeft w:val="0"/>
      <w:marRight w:val="0"/>
      <w:marTop w:val="0"/>
      <w:marBottom w:val="0"/>
      <w:divBdr>
        <w:top w:val="none" w:sz="0" w:space="0" w:color="auto"/>
        <w:left w:val="none" w:sz="0" w:space="0" w:color="auto"/>
        <w:bottom w:val="none" w:sz="0" w:space="0" w:color="auto"/>
        <w:right w:val="none" w:sz="0" w:space="0" w:color="auto"/>
      </w:divBdr>
      <w:divsChild>
        <w:div w:id="600800351">
          <w:marLeft w:val="0"/>
          <w:marRight w:val="0"/>
          <w:marTop w:val="0"/>
          <w:marBottom w:val="0"/>
          <w:divBdr>
            <w:top w:val="none" w:sz="0" w:space="0" w:color="auto"/>
            <w:left w:val="none" w:sz="0" w:space="0" w:color="auto"/>
            <w:bottom w:val="none" w:sz="0" w:space="0" w:color="auto"/>
            <w:right w:val="none" w:sz="0" w:space="0" w:color="auto"/>
          </w:divBdr>
          <w:divsChild>
            <w:div w:id="598758613">
              <w:marLeft w:val="0"/>
              <w:marRight w:val="0"/>
              <w:marTop w:val="0"/>
              <w:marBottom w:val="0"/>
              <w:divBdr>
                <w:top w:val="none" w:sz="0" w:space="0" w:color="auto"/>
                <w:left w:val="none" w:sz="0" w:space="0" w:color="auto"/>
                <w:bottom w:val="none" w:sz="0" w:space="0" w:color="auto"/>
                <w:right w:val="none" w:sz="0" w:space="0" w:color="auto"/>
              </w:divBdr>
              <w:divsChild>
                <w:div w:id="2009208194">
                  <w:marLeft w:val="0"/>
                  <w:marRight w:val="0"/>
                  <w:marTop w:val="144"/>
                  <w:marBottom w:val="0"/>
                  <w:divBdr>
                    <w:top w:val="none" w:sz="0" w:space="0" w:color="auto"/>
                    <w:left w:val="none" w:sz="0" w:space="0" w:color="auto"/>
                    <w:bottom w:val="none" w:sz="0" w:space="0" w:color="auto"/>
                    <w:right w:val="none" w:sz="0" w:space="0" w:color="auto"/>
                  </w:divBdr>
                  <w:divsChild>
                    <w:div w:id="978655290">
                      <w:marLeft w:val="0"/>
                      <w:marRight w:val="0"/>
                      <w:marTop w:val="0"/>
                      <w:marBottom w:val="0"/>
                      <w:divBdr>
                        <w:top w:val="none" w:sz="0" w:space="0" w:color="auto"/>
                        <w:left w:val="none" w:sz="0" w:space="0" w:color="auto"/>
                        <w:bottom w:val="none" w:sz="0" w:space="0" w:color="auto"/>
                        <w:right w:val="none" w:sz="0" w:space="0" w:color="auto"/>
                      </w:divBdr>
                      <w:divsChild>
                        <w:div w:id="1194995019">
                          <w:marLeft w:val="0"/>
                          <w:marRight w:val="0"/>
                          <w:marTop w:val="0"/>
                          <w:marBottom w:val="0"/>
                          <w:divBdr>
                            <w:top w:val="none" w:sz="0" w:space="0" w:color="auto"/>
                            <w:left w:val="none" w:sz="0" w:space="0" w:color="auto"/>
                            <w:bottom w:val="none" w:sz="0" w:space="0" w:color="auto"/>
                            <w:right w:val="none" w:sz="0" w:space="0" w:color="auto"/>
                          </w:divBdr>
                          <w:divsChild>
                            <w:div w:id="177738855">
                              <w:marLeft w:val="0"/>
                              <w:marRight w:val="0"/>
                              <w:marTop w:val="0"/>
                              <w:marBottom w:val="0"/>
                              <w:divBdr>
                                <w:top w:val="none" w:sz="0" w:space="0" w:color="auto"/>
                                <w:left w:val="none" w:sz="0" w:space="0" w:color="auto"/>
                                <w:bottom w:val="none" w:sz="0" w:space="0" w:color="auto"/>
                                <w:right w:val="none" w:sz="0" w:space="0" w:color="auto"/>
                              </w:divBdr>
                              <w:divsChild>
                                <w:div w:id="72872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Bre16</b:Tag>
    <b:SourceType>JournalArticle</b:SourceType>
    <b:Guid>{EFC91858-772C-44E5-A45B-4390F890E4D1}</b:Guid>
    <b:LCID>0</b:LCID>
    <b:Author>
      <b:Author>
        <b:NameList>
          <b:Person>
            <b:Last>Brezina</b:Last>
            <b:First>Ivan</b:First>
          </b:Person>
          <b:Person>
            <b:Last>Pekar</b:Last>
            <b:First>Jurai</b:First>
          </b:Person>
          <b:Person>
            <b:Last>Cickova</b:Last>
            <b:First>Z</b:First>
          </b:Person>
          <b:Person>
            <b:Last>Reiff</b:Last>
            <b:First>Marian</b:First>
          </b:Person>
        </b:NameList>
      </b:Author>
    </b:Author>
    <b:Title>Herfindahl–Hirschman index level of concentration values modification and analysis of their change</b:Title>
    <b:Year>2016</b:Year>
    <b:JournalName>Central European journal of operations research</b:JournalName>
    <b:Pages>49-72</b:Pages>
    <b:Volume>24</b:Volume>
    <b:Issue>1</b:Issue>
    <b:RefOrder>1</b:RefOrder>
  </b:Source>
  <b:Source>
    <b:Tag>Kei17</b:Tag>
    <b:SourceType>JournalArticle</b:SourceType>
    <b:Guid>{16138577-ACE4-4749-816F-7EFCC3252192}</b:Guid>
    <b:LCID>0</b:LCID>
    <b:Author>
      <b:Author>
        <b:NameList>
          <b:Person>
            <b:Last>Keil</b:Last>
            <b:First>Jan</b:First>
          </b:Person>
        </b:NameList>
      </b:Author>
    </b:Author>
    <b:Title>The trouble with approximating industry concentration from Compustat</b:Title>
    <b:JournalName>Journal of Corporate Finance</b:JournalName>
    <b:Year>2017</b:Year>
    <b:Pages>467-479</b:Pages>
    <b:Volume>45</b:Volume>
    <b:RefOrder>2</b:RefOrder>
  </b:Source>
</b:Sources>
</file>

<file path=customXml/itemProps1.xml><?xml version="1.0" encoding="utf-8"?>
<ds:datastoreItem xmlns:ds="http://schemas.openxmlformats.org/officeDocument/2006/customXml" ds:itemID="{3FC9A8F4-1929-4816-AC57-D305CB4BA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2020-02-02T12:30:00Z</dcterms:created>
  <dcterms:modified xsi:type="dcterms:W3CDTF">2020-02-02T16:34:00Z</dcterms:modified>
</cp:coreProperties>
</file>